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0"/>
          <w:szCs w:val="48"/>
          <w:lang w:val="en-US" w:eastAsia="zh-CN"/>
        </w:rPr>
      </w:pPr>
      <w:r>
        <w:rPr>
          <w:rFonts w:hint="eastAsia"/>
          <w:b/>
          <w:bCs/>
          <w:sz w:val="40"/>
          <w:szCs w:val="48"/>
          <w:lang w:val="en-US" w:eastAsia="zh-CN"/>
        </w:rPr>
        <w:t>石油建设项目安全</w:t>
      </w:r>
      <w:bookmarkStart w:id="0" w:name="_GoBack"/>
      <w:bookmarkEnd w:id="0"/>
      <w:r>
        <w:rPr>
          <w:rFonts w:hint="eastAsia"/>
          <w:b/>
          <w:bCs/>
          <w:sz w:val="40"/>
          <w:szCs w:val="48"/>
          <w:lang w:val="en-US" w:eastAsia="zh-CN"/>
        </w:rPr>
        <w:t>评价指导性收费标准</w:t>
      </w:r>
    </w:p>
    <w:p>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1.收费依据</w:t>
      </w:r>
    </w:p>
    <w:p>
      <w:pPr>
        <w:keepNext w:val="0"/>
        <w:keepLines w:val="0"/>
        <w:widowControl w:val="0"/>
        <w:suppressLineNumbers w:val="0"/>
        <w:spacing w:before="0" w:beforeAutospacing="0" w:after="0" w:afterAutospacing="0" w:line="360" w:lineRule="auto"/>
        <w:ind w:left="0" w:right="0" w:firstLine="480"/>
        <w:jc w:val="both"/>
        <w:outlineLvl w:val="0"/>
        <w:rPr>
          <w:sz w:val="24"/>
          <w:szCs w:val="24"/>
          <w:lang w:val="en-US"/>
        </w:rPr>
      </w:pP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）《中华人民共和国价格法》（</w:t>
      </w:r>
      <w:r>
        <w:rPr>
          <w:rFonts w:hint="eastAsia" w:ascii="宋体" w:hAnsi="宋体" w:eastAsia="宋体" w:cs="宋体"/>
          <w:i w:val="0"/>
          <w:iCs w:val="0"/>
          <w:caps w:val="0"/>
          <w:color w:val="000000"/>
          <w:spacing w:val="0"/>
          <w:sz w:val="24"/>
          <w:szCs w:val="24"/>
          <w:shd w:val="clear" w:fill="FFFFFF"/>
        </w:rPr>
        <w:t>中华人民共和国主席令第九十二号</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）《中介服务收费管理办法》（计价格</w:t>
      </w:r>
      <w:r>
        <w:rPr>
          <w:rFonts w:hint="default" w:ascii="Times New Roman" w:hAnsi="Times New Roman" w:eastAsia="宋体" w:cs="Times New Roman"/>
          <w:kern w:val="2"/>
          <w:sz w:val="24"/>
          <w:szCs w:val="24"/>
          <w:lang w:val="en-US" w:eastAsia="zh-CN" w:bidi="ar"/>
        </w:rPr>
        <w:t>[1999]2255</w:t>
      </w:r>
      <w:r>
        <w:rPr>
          <w:rFonts w:hint="eastAsia" w:ascii="Times New Roman" w:hAnsi="Times New Roman" w:eastAsia="宋体" w:cs="宋体"/>
          <w:kern w:val="2"/>
          <w:sz w:val="24"/>
          <w:szCs w:val="24"/>
          <w:lang w:val="en-US" w:eastAsia="zh-CN" w:bidi="ar"/>
        </w:rPr>
        <w:t>号）；</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（3）《石油建设项目其他费用和相关费用》（计价方法与费用标准 2022版）。</w:t>
      </w:r>
    </w:p>
    <w:p>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2.费用内容</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专项评价及验收费包括安全预评价及验收费、危险与可操作性分析及安全完整性评价费和其他专项评价及验收费。</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安全预评价及验收费是指为预测和分析建设项目存在的危害因素种类和危险危害程度，提出先进、科学、合理可行的安全技术和管理对策，而编制评价大纲、编写安全评价报告书和评估及进行单项专题评价等所需的费用，以及在竣工阶段验收时所发生的费用。</w:t>
      </w:r>
    </w:p>
    <w:p>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宋体"/>
          <w:b/>
          <w:bCs/>
          <w:kern w:val="2"/>
          <w:sz w:val="24"/>
          <w:szCs w:val="24"/>
          <w:lang w:val="en-US" w:eastAsia="zh-CN" w:bidi="ar"/>
        </w:rPr>
      </w:pPr>
      <w:r>
        <w:rPr>
          <w:rFonts w:hint="eastAsia" w:ascii="Times New Roman" w:hAnsi="Times New Roman" w:eastAsia="宋体" w:cs="宋体"/>
          <w:b/>
          <w:bCs/>
          <w:kern w:val="2"/>
          <w:sz w:val="24"/>
          <w:szCs w:val="24"/>
          <w:lang w:val="en-US" w:eastAsia="zh-CN" w:bidi="ar"/>
        </w:rPr>
        <w:t>3.收费标准</w:t>
      </w:r>
    </w:p>
    <w:p>
      <w:pPr>
        <w:keepNext w:val="0"/>
        <w:keepLines w:val="0"/>
        <w:widowControl w:val="0"/>
        <w:suppressLineNumbers w:val="0"/>
        <w:spacing w:before="0" w:beforeAutospacing="0" w:after="0" w:afterAutospacing="0" w:line="360" w:lineRule="auto"/>
        <w:ind w:left="0" w:right="0" w:firstLine="480"/>
        <w:jc w:val="both"/>
        <w:rPr>
          <w:sz w:val="24"/>
          <w:szCs w:val="24"/>
          <w:lang w:val="en-US"/>
        </w:rPr>
      </w:pPr>
      <w:r>
        <w:rPr>
          <w:rFonts w:hint="eastAsia" w:ascii="Times New Roman" w:hAnsi="Times New Roman" w:eastAsia="宋体" w:cs="宋体"/>
          <w:kern w:val="2"/>
          <w:sz w:val="24"/>
          <w:szCs w:val="24"/>
          <w:lang w:val="en-US" w:eastAsia="zh-CN" w:bidi="ar"/>
        </w:rPr>
        <w:t>根据法规、文件的精神和评价工作量，考虑到法定税金、合理利润，评价项目的难度、复杂程度和风险程度等因素，制定此评价收费标准。本收费标准中的评价收费标准不包含评价报告的评审费及检测、检验的费用，在评价活动中按国家有关规定需要进行检测、检验的工作，按国家有关规定另行收费。因委托原因造成安全评价业务量的增加或延期，评价中介机构可与委托方协商增加收费。</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3.1安全预评价及验收收费计算方法</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安全预评价及验收费，建设项目所在省（直辖市、自治区）人民政府有规定的，按规定计算。没有规定的可按以下标准计算：长输管道项目按表1的计算标准采用直线内插法计算，油气田、炼油化工、油库、加油加气加氢站建设项目按表2的计算标准采用直线内插法计算。</w:t>
      </w:r>
    </w:p>
    <w:p>
      <w:pPr>
        <w:keepNext w:val="0"/>
        <w:keepLines w:val="0"/>
        <w:widowControl w:val="0"/>
        <w:suppressLineNumbers w:val="0"/>
        <w:spacing w:before="0" w:beforeAutospacing="0" w:after="0" w:afterAutospacing="0" w:line="360" w:lineRule="auto"/>
        <w:ind w:left="0" w:right="0" w:firstLine="480"/>
        <w:jc w:val="cente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表1  安全预评价及验收费计费标准表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序号</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管线长度（km）</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计费标准</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500以内</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40万~105万</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含500km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500~1000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2100~1600元/km</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含1000km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3</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1000~3000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1600~1200元/km</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含3000km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4</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3000以上</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不大于1200元/km</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p>
        </w:tc>
      </w:tr>
    </w:tbl>
    <w:p>
      <w:pPr>
        <w:keepNext w:val="0"/>
        <w:keepLines w:val="0"/>
        <w:widowControl w:val="0"/>
        <w:suppressLineNumbers w:val="0"/>
        <w:spacing w:before="0" w:beforeAutospacing="0" w:after="0" w:afterAutospacing="0" w:line="360" w:lineRule="auto"/>
        <w:ind w:left="0" w:right="0" w:firstLine="480"/>
        <w:jc w:val="cente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表2  安全预评价及验收费计费标准表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序号</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工程费用（亿元）</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计费标准（万元）</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0.3以内</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不大于12</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含0.3亿元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0.3~1</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12~20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3</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1~2</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20~55</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4</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2~10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55~110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5</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10~50</w:t>
            </w:r>
          </w:p>
        </w:tc>
        <w:tc>
          <w:tcPr>
            <w:tcW w:w="2131" w:type="dxa"/>
          </w:tcPr>
          <w:p>
            <w:pPr>
              <w:keepNext w:val="0"/>
              <w:keepLines w:val="0"/>
              <w:widowControl w:val="0"/>
              <w:suppressLineNumbers w:val="0"/>
              <w:spacing w:before="0" w:beforeAutospacing="0" w:after="0" w:afterAutospacing="0" w:line="360" w:lineRule="auto"/>
              <w:ind w:right="0"/>
              <w:jc w:val="center"/>
              <w:rPr>
                <w:rFonts w:hint="eastAsia"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110~230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6</w:t>
            </w:r>
          </w:p>
        </w:tc>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50~100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230~340</w:t>
            </w:r>
          </w:p>
        </w:tc>
        <w:tc>
          <w:tcPr>
            <w:tcW w:w="2131"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含100亿元</w:t>
            </w:r>
          </w:p>
        </w:tc>
      </w:tr>
    </w:tbl>
    <w:p>
      <w:pPr>
        <w:keepNext w:val="0"/>
        <w:keepLines w:val="0"/>
        <w:widowControl w:val="0"/>
        <w:suppressLineNumbers w:val="0"/>
        <w:spacing w:before="0" w:beforeAutospacing="0" w:after="0" w:afterAutospacing="0" w:line="360" w:lineRule="auto"/>
        <w:ind w:right="0"/>
        <w:jc w:val="both"/>
        <w:rPr>
          <w:rFonts w:hint="default" w:ascii="Times New Roman" w:hAnsi="Times New Roman" w:eastAsia="宋体" w:cs="宋体"/>
          <w:kern w:val="2"/>
          <w:sz w:val="20"/>
          <w:szCs w:val="20"/>
          <w:lang w:val="en-US" w:eastAsia="zh-CN" w:bidi="ar"/>
        </w:rPr>
      </w:pPr>
      <w:r>
        <w:rPr>
          <w:rFonts w:hint="eastAsia" w:ascii="Times New Roman" w:hAnsi="Times New Roman" w:eastAsia="宋体" w:cs="宋体"/>
          <w:kern w:val="2"/>
          <w:sz w:val="20"/>
          <w:szCs w:val="20"/>
          <w:lang w:val="en-US" w:eastAsia="zh-CN" w:bidi="ar"/>
        </w:rPr>
        <w:t>备注：工程费用大于100亿元的建设项目，按照超出工程费用的0.012%增加评价及验收费用。</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3.2危险与可操作性分析及安全完整性评价费</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危险与可操作性分析（英文简称：HAZOP）及安全完整性评（英文简称：SIL）费是指对应用于油气集输，油气处理，炼化主产，油气储运等具有流程性工艺特征的新、改、扩建项目进行工艺危害分析和对安全仪表系统的设置水平及可靠性进行定量评估所发生的费用。危险与可操作性分析及安全完整性评价费，按表3计费标准采用直线内插法计算。</w:t>
      </w:r>
    </w:p>
    <w:p>
      <w:pPr>
        <w:keepNext w:val="0"/>
        <w:keepLines w:val="0"/>
        <w:widowControl w:val="0"/>
        <w:suppressLineNumbers w:val="0"/>
        <w:spacing w:before="0" w:beforeAutospacing="0" w:after="0" w:afterAutospacing="0" w:line="360" w:lineRule="auto"/>
        <w:ind w:left="0" w:right="0" w:firstLine="480"/>
        <w:jc w:val="cente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表3  危险与可操作性分析及安全完整性评价费计费标准表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序号</w:t>
            </w:r>
          </w:p>
        </w:tc>
        <w:tc>
          <w:tcPr>
            <w:tcW w:w="2130" w:type="dxa"/>
            <w:vAlign w:val="top"/>
          </w:tcPr>
          <w:p>
            <w:pPr>
              <w:keepNext w:val="0"/>
              <w:keepLines w:val="0"/>
              <w:widowControl w:val="0"/>
              <w:suppressLineNumbers w:val="0"/>
              <w:spacing w:before="0" w:beforeAutospacing="0" w:after="0" w:afterAutospacing="0" w:line="360" w:lineRule="auto"/>
              <w:ind w:right="0" w:rightChars="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工程费用（亿元）</w:t>
            </w:r>
          </w:p>
        </w:tc>
        <w:tc>
          <w:tcPr>
            <w:tcW w:w="2131" w:type="dxa"/>
            <w:vAlign w:val="top"/>
          </w:tcPr>
          <w:p>
            <w:pPr>
              <w:keepNext w:val="0"/>
              <w:keepLines w:val="0"/>
              <w:widowControl w:val="0"/>
              <w:suppressLineNumbers w:val="0"/>
              <w:spacing w:before="0" w:beforeAutospacing="0" w:after="0" w:afterAutospacing="0" w:line="360" w:lineRule="auto"/>
              <w:ind w:right="0" w:rightChars="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计费标准（万元）</w:t>
            </w:r>
          </w:p>
        </w:tc>
        <w:tc>
          <w:tcPr>
            <w:tcW w:w="2131" w:type="dxa"/>
            <w:vAlign w:val="top"/>
          </w:tcPr>
          <w:p>
            <w:pPr>
              <w:keepNext w:val="0"/>
              <w:keepLines w:val="0"/>
              <w:widowControl w:val="0"/>
              <w:suppressLineNumbers w:val="0"/>
              <w:spacing w:before="0" w:beforeAutospacing="0" w:after="0" w:afterAutospacing="0" w:line="360" w:lineRule="auto"/>
              <w:ind w:right="0" w:rightChars="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w:t>
            </w:r>
          </w:p>
        </w:tc>
        <w:tc>
          <w:tcPr>
            <w:tcW w:w="2130" w:type="dxa"/>
            <w:vAlign w:val="center"/>
          </w:tcPr>
          <w:p>
            <w:pPr>
              <w:keepNext w:val="0"/>
              <w:keepLines w:val="0"/>
              <w:widowControl w:val="0"/>
              <w:suppressLineNumbers w:val="0"/>
              <w:spacing w:before="0" w:beforeAutospacing="0" w:after="0" w:afterAutospacing="0" w:line="360" w:lineRule="auto"/>
              <w:ind w:right="0" w:rightChars="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2以内</w:t>
            </w:r>
          </w:p>
        </w:tc>
        <w:tc>
          <w:tcPr>
            <w:tcW w:w="2131" w:type="dxa"/>
            <w:vAlign w:val="center"/>
          </w:tcPr>
          <w:p>
            <w:pPr>
              <w:keepNext w:val="0"/>
              <w:keepLines w:val="0"/>
              <w:widowControl w:val="0"/>
              <w:suppressLineNumbers w:val="0"/>
              <w:spacing w:before="0" w:beforeAutospacing="0" w:after="0" w:afterAutospacing="0" w:line="360" w:lineRule="auto"/>
              <w:ind w:right="0" w:rightChars="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≤30</w:t>
            </w:r>
          </w:p>
        </w:tc>
        <w:tc>
          <w:tcPr>
            <w:tcW w:w="2131" w:type="dxa"/>
            <w:vAlign w:val="center"/>
          </w:tcPr>
          <w:p>
            <w:pPr>
              <w:keepNext w:val="0"/>
              <w:keepLines w:val="0"/>
              <w:widowControl w:val="0"/>
              <w:suppressLineNumbers w:val="0"/>
              <w:spacing w:before="0" w:beforeAutospacing="0" w:after="0" w:afterAutospacing="0" w:line="360" w:lineRule="auto"/>
              <w:ind w:right="0" w:rightChars="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含2亿元，最低不低于5万元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w:t>
            </w:r>
          </w:p>
        </w:tc>
        <w:tc>
          <w:tcPr>
            <w:tcW w:w="2130"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2~10</w:t>
            </w:r>
          </w:p>
        </w:tc>
        <w:tc>
          <w:tcPr>
            <w:tcW w:w="2131"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30~100</w:t>
            </w:r>
          </w:p>
        </w:tc>
        <w:tc>
          <w:tcPr>
            <w:tcW w:w="2131"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3</w:t>
            </w:r>
          </w:p>
        </w:tc>
        <w:tc>
          <w:tcPr>
            <w:tcW w:w="2130"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10~20</w:t>
            </w:r>
          </w:p>
        </w:tc>
        <w:tc>
          <w:tcPr>
            <w:tcW w:w="2131"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100~125</w:t>
            </w:r>
          </w:p>
        </w:tc>
        <w:tc>
          <w:tcPr>
            <w:tcW w:w="2131" w:type="dxa"/>
            <w:vAlign w:val="center"/>
          </w:tcPr>
          <w:p>
            <w:pPr>
              <w:keepNext w:val="0"/>
              <w:keepLines w:val="0"/>
              <w:widowControl w:val="0"/>
              <w:suppressLineNumbers w:val="0"/>
              <w:spacing w:before="0" w:beforeAutospacing="0" w:after="0" w:afterAutospacing="0" w:line="360" w:lineRule="auto"/>
              <w:ind w:right="0"/>
              <w:jc w:val="center"/>
              <w:rPr>
                <w:rFonts w:hint="default" w:ascii="Times New Roman" w:hAnsi="Times New Roman" w:eastAsia="宋体" w:cs="宋体"/>
                <w:kern w:val="2"/>
                <w:sz w:val="24"/>
                <w:szCs w:val="24"/>
                <w:vertAlign w:val="baseline"/>
                <w:lang w:val="en-US" w:eastAsia="zh-CN" w:bidi="ar"/>
              </w:rPr>
            </w:pPr>
            <w:r>
              <w:rPr>
                <w:rFonts w:hint="eastAsia" w:ascii="Times New Roman" w:hAnsi="Times New Roman" w:eastAsia="宋体" w:cs="宋体"/>
                <w:kern w:val="2"/>
                <w:sz w:val="24"/>
                <w:szCs w:val="24"/>
                <w:vertAlign w:val="baseline"/>
                <w:lang w:val="en-US" w:eastAsia="zh-CN" w:bidi="ar"/>
              </w:rPr>
              <w:t>含20亿元</w:t>
            </w:r>
          </w:p>
        </w:tc>
      </w:tr>
    </w:tbl>
    <w:p>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宋体"/>
          <w:kern w:val="2"/>
          <w:sz w:val="20"/>
          <w:szCs w:val="20"/>
          <w:lang w:val="en-US" w:eastAsia="zh-CN" w:bidi="ar"/>
        </w:rPr>
      </w:pPr>
      <w:r>
        <w:rPr>
          <w:rFonts w:hint="eastAsia" w:ascii="Times New Roman" w:hAnsi="Times New Roman" w:eastAsia="宋体" w:cs="宋体"/>
          <w:kern w:val="2"/>
          <w:sz w:val="20"/>
          <w:szCs w:val="20"/>
          <w:lang w:val="en-US" w:eastAsia="zh-CN" w:bidi="ar"/>
        </w:rPr>
        <w:t>备注：建设投资（不包括危险与可操作性分析及安全完整性评价费）20 亿元以上的按0.06%计算。</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3.3其他专项评价及验收费</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其他专项评价及验收费是指除以上评价及验收费外，根据国家法律法规、集团公司以及建设项目所在省（直辖市、自治区）人民政府有关规定，需进行的其他专项评价、评估、咨询和验收（如重大没资项目社会稳定风险评估、防洪评价以及光伏发电、风电场工程的接入系统评价等专业评估）所需的费用。</w:t>
      </w:r>
    </w:p>
    <w:p>
      <w:pPr>
        <w:keepNext w:val="0"/>
        <w:keepLines w:val="0"/>
        <w:widowControl w:val="0"/>
        <w:suppressLineNumbers w:val="0"/>
        <w:spacing w:before="0" w:beforeAutospacing="0" w:after="0" w:afterAutospacing="0" w:line="360" w:lineRule="auto"/>
        <w:ind w:left="0" w:right="0" w:firstLine="480"/>
        <w:jc w:val="both"/>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其他专项评价及验收费按照国家、集团公司以及建设项目所在省（直辖市、自治区）人民政府有关规定计算。</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以上数据来源于《石油建设项目其他费用和相关费用计价方法与费用标准（2022版）》中国石油天然气集团有限公司（中油计划【2022】22号）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Y2NWZhYjVjZjFkNjBmMDU4NGM4OWMyNzliNzUifQ=="/>
  </w:docVars>
  <w:rsids>
    <w:rsidRoot w:val="00000000"/>
    <w:rsid w:val="2167192A"/>
    <w:rsid w:val="41165D75"/>
    <w:rsid w:val="6BB30C48"/>
    <w:rsid w:val="73EB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2023-10-10T03:42:00Z</dcterms:created>
  <dc:creator>Lenovo</dc:creator>
  <cp:lastModifiedBy>W.m-Colony</cp:lastModifiedBy>
  <dcterms:modified xsi:type="dcterms:W3CDTF">2024-01-10T02:15:25Z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BA4A451CA93242929DE357999F7F6CE7_12</vt:lpwstr>
  </property>
</Properties>
</file>